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7E6FEB" w:rsidTr="0085017D">
        <w:trPr>
          <w:trHeight w:val="465"/>
        </w:trPr>
        <w:tc>
          <w:tcPr>
            <w:tcW w:w="9464" w:type="dxa"/>
            <w:shd w:val="clear" w:color="auto" w:fill="FDE9D9"/>
          </w:tcPr>
          <w:p w:rsidR="00627D75" w:rsidRPr="007E6FEB" w:rsidRDefault="002715B4" w:rsidP="002715B4">
            <w:pPr>
              <w:pStyle w:val="Nzev"/>
              <w:spacing w:before="120" w:after="120" w:line="240" w:lineRule="auto"/>
              <w:rPr>
                <w:rFonts w:ascii="Arial" w:hAnsi="Arial" w:cs="Arial"/>
                <w:sz w:val="20"/>
                <w:szCs w:val="20"/>
              </w:rPr>
            </w:pPr>
            <w:r w:rsidRPr="007E6FEB">
              <w:rPr>
                <w:rFonts w:ascii="Arial" w:hAnsi="Arial" w:cs="Arial"/>
                <w:sz w:val="20"/>
                <w:szCs w:val="20"/>
                <w:lang w:val="cs-CZ"/>
              </w:rPr>
              <w:t>Technické podmínky</w:t>
            </w:r>
          </w:p>
        </w:tc>
      </w:tr>
    </w:tbl>
    <w:p w:rsidR="007E6FEB" w:rsidRPr="007E6FEB" w:rsidRDefault="007E6FEB" w:rsidP="007E6FEB">
      <w:pPr>
        <w:tabs>
          <w:tab w:val="left" w:pos="993"/>
        </w:tabs>
        <w:spacing w:before="240" w:after="120"/>
        <w:jc w:val="both"/>
        <w:rPr>
          <w:rFonts w:ascii="Arial" w:hAnsi="Arial" w:cs="Arial"/>
          <w:b/>
          <w:sz w:val="20"/>
          <w:szCs w:val="20"/>
          <w:u w:val="single"/>
        </w:rPr>
      </w:pPr>
      <w:r w:rsidRPr="007E6FEB">
        <w:rPr>
          <w:rFonts w:ascii="Arial" w:hAnsi="Arial" w:cs="Arial"/>
          <w:b/>
          <w:sz w:val="20"/>
          <w:szCs w:val="20"/>
          <w:u w:val="single"/>
        </w:rPr>
        <w:t>„II/152 Třebelovice – most ev. č. 152-013“</w:t>
      </w:r>
    </w:p>
    <w:p w:rsidR="007E6FEB" w:rsidRPr="007E6FEB" w:rsidRDefault="007E6FEB" w:rsidP="007E6FEB">
      <w:pPr>
        <w:overflowPunct w:val="0"/>
        <w:autoSpaceDE w:val="0"/>
        <w:autoSpaceDN w:val="0"/>
        <w:adjustRightInd w:val="0"/>
        <w:spacing w:before="120" w:after="120"/>
        <w:jc w:val="both"/>
        <w:textAlignment w:val="baseline"/>
        <w:rPr>
          <w:rFonts w:ascii="Arial" w:eastAsia="Times New Roman" w:hAnsi="Arial" w:cs="Arial"/>
          <w:bCs/>
          <w:sz w:val="20"/>
          <w:szCs w:val="20"/>
          <w:lang w:eastAsia="cs-CZ"/>
        </w:rPr>
      </w:pPr>
      <w:r w:rsidRPr="007E6FEB">
        <w:rPr>
          <w:rFonts w:ascii="Arial" w:eastAsia="Times New Roman" w:hAnsi="Arial" w:cs="Arial"/>
          <w:bCs/>
          <w:sz w:val="20"/>
          <w:szCs w:val="20"/>
          <w:lang w:eastAsia="cs-CZ"/>
        </w:rPr>
        <w:t>Předmětem plnění je:</w:t>
      </w:r>
    </w:p>
    <w:p w:rsidR="007E6FEB" w:rsidRPr="007E6FEB" w:rsidRDefault="007E6FEB" w:rsidP="007E6FE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E6FEB">
        <w:rPr>
          <w:rFonts w:ascii="Arial" w:hAnsi="Arial" w:cs="Arial"/>
          <w:bCs/>
          <w:sz w:val="20"/>
          <w:szCs w:val="20"/>
        </w:rPr>
        <w:t>Geodetické zaměření předmětného území (výškopisné a polohopisné zaměření) v potřebném rozsahu rekonstrukce mostu</w:t>
      </w:r>
    </w:p>
    <w:p w:rsidR="007E6FEB" w:rsidRPr="007E6FEB" w:rsidRDefault="007E6FEB" w:rsidP="007E6FE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E6FEB">
        <w:rPr>
          <w:rFonts w:ascii="Arial" w:hAnsi="Arial" w:cs="Arial"/>
          <w:bCs/>
          <w:sz w:val="20"/>
          <w:szCs w:val="20"/>
        </w:rPr>
        <w:t>Vypracování diagnostického průzkumu mostu</w:t>
      </w:r>
    </w:p>
    <w:p w:rsidR="007E6FEB" w:rsidRPr="007E6FEB" w:rsidRDefault="007E6FEB" w:rsidP="007E6FEB">
      <w:pPr>
        <w:pStyle w:val="Odstavecseseznamem"/>
        <w:numPr>
          <w:ilvl w:val="0"/>
          <w:numId w:val="22"/>
        </w:numPr>
        <w:overflowPunct w:val="0"/>
        <w:autoSpaceDE w:val="0"/>
        <w:autoSpaceDN w:val="0"/>
        <w:adjustRightInd w:val="0"/>
        <w:spacing w:after="120"/>
        <w:jc w:val="both"/>
        <w:textAlignment w:val="baseline"/>
        <w:rPr>
          <w:rFonts w:ascii="Arial" w:hAnsi="Arial" w:cs="Arial"/>
          <w:bCs/>
          <w:sz w:val="20"/>
          <w:szCs w:val="20"/>
        </w:rPr>
      </w:pPr>
      <w:r w:rsidRPr="007E6FEB">
        <w:rPr>
          <w:rFonts w:ascii="Arial" w:hAnsi="Arial" w:cs="Arial"/>
          <w:bCs/>
          <w:sz w:val="20"/>
          <w:szCs w:val="20"/>
        </w:rPr>
        <w:t>Vypracování inženýrsko-geologického průzkumu včetně návrhu technického řešení</w:t>
      </w:r>
    </w:p>
    <w:p w:rsidR="007E6FEB" w:rsidRPr="007E6FEB" w:rsidRDefault="007E6FEB" w:rsidP="007E6FE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E6FEB">
        <w:rPr>
          <w:rFonts w:ascii="Arial" w:hAnsi="Arial" w:cs="Arial"/>
          <w:bCs/>
          <w:sz w:val="20"/>
          <w:szCs w:val="20"/>
        </w:rPr>
        <w:t>Vypracování projektové dokumentace ve stupni pro vydání společného územního a stavebního povolení (DUSP)</w:t>
      </w:r>
    </w:p>
    <w:p w:rsidR="007E6FEB" w:rsidRPr="007E6FEB" w:rsidRDefault="007E6FEB" w:rsidP="007E6FE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E6FEB">
        <w:rPr>
          <w:rFonts w:ascii="Arial" w:hAnsi="Arial" w:cs="Arial"/>
          <w:bCs/>
          <w:sz w:val="20"/>
          <w:szCs w:val="20"/>
        </w:rPr>
        <w:t>Zajištění potřebných pravomocných společných územních a stavebních povolení (ÚSP), včetně všech požadovaných příloh, dokladů a vyjádření</w:t>
      </w:r>
    </w:p>
    <w:p w:rsidR="007E6FEB" w:rsidRPr="007E6FEB" w:rsidRDefault="007E6FEB" w:rsidP="007E6FE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E6FEB">
        <w:rPr>
          <w:rFonts w:ascii="Arial" w:hAnsi="Arial" w:cs="Arial"/>
          <w:bCs/>
          <w:sz w:val="20"/>
          <w:szCs w:val="20"/>
        </w:rPr>
        <w:t>Zajištění všech povolení potřebných k vlastní realizaci kompletních stavebních prací a zajištění kladných vyjádření a stanovisek všech dotčených orgánů pro podání řádných žádostí o vydání SP k příslušnému stavebnímu úřadu včetně všech požadovaných příloh</w:t>
      </w:r>
    </w:p>
    <w:p w:rsidR="007E6FEB" w:rsidRPr="007E6FEB" w:rsidRDefault="007E6FEB" w:rsidP="007E6FEB">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E6FEB">
        <w:rPr>
          <w:rFonts w:ascii="Arial" w:hAnsi="Arial" w:cs="Arial"/>
          <w:bCs/>
          <w:sz w:val="20"/>
          <w:szCs w:val="20"/>
        </w:rPr>
        <w:t>Vypracování projektové dokumentace pro provádění stavby (PDPS) včetně oceněného a neoceněného soupisu prací</w:t>
      </w:r>
    </w:p>
    <w:p w:rsidR="007E6FEB" w:rsidRPr="007E6FEB" w:rsidRDefault="007E6FEB" w:rsidP="007E6FEB">
      <w:pPr>
        <w:pStyle w:val="Odstavecseseznamem"/>
        <w:numPr>
          <w:ilvl w:val="0"/>
          <w:numId w:val="22"/>
        </w:numPr>
        <w:overflowPunct w:val="0"/>
        <w:autoSpaceDE w:val="0"/>
        <w:autoSpaceDN w:val="0"/>
        <w:adjustRightInd w:val="0"/>
        <w:spacing w:after="120"/>
        <w:jc w:val="both"/>
        <w:textAlignment w:val="baseline"/>
        <w:rPr>
          <w:rFonts w:ascii="Arial" w:hAnsi="Arial" w:cs="Arial"/>
          <w:bCs/>
          <w:sz w:val="20"/>
          <w:szCs w:val="20"/>
        </w:rPr>
      </w:pPr>
      <w:r w:rsidRPr="007E6FEB">
        <w:rPr>
          <w:rFonts w:ascii="Arial" w:hAnsi="Arial" w:cs="Arial"/>
          <w:bCs/>
          <w:sz w:val="20"/>
          <w:szCs w:val="20"/>
        </w:rPr>
        <w:t>Výkon autorského dozoru při realizaci stavby</w:t>
      </w:r>
    </w:p>
    <w:p w:rsidR="007E6FEB" w:rsidRPr="007E6FEB" w:rsidRDefault="007E6FEB" w:rsidP="007E6FEB">
      <w:pPr>
        <w:autoSpaceDE w:val="0"/>
        <w:autoSpaceDN w:val="0"/>
        <w:adjustRightInd w:val="0"/>
        <w:spacing w:after="0" w:line="240" w:lineRule="auto"/>
        <w:rPr>
          <w:rFonts w:ascii="Arial" w:hAnsi="Arial" w:cs="Arial"/>
          <w:sz w:val="20"/>
          <w:szCs w:val="20"/>
        </w:rPr>
      </w:pPr>
      <w:r w:rsidRPr="007E6FEB">
        <w:rPr>
          <w:rFonts w:ascii="Arial" w:hAnsi="Arial" w:cs="Arial"/>
          <w:sz w:val="20"/>
          <w:szCs w:val="20"/>
        </w:rPr>
        <w:t>Stávající most ev. č. 152-013 převádí silnici II/152 ve staničení km 0,532 přes místní vodoteč v obci Třebelovice. Jedná se o jednopolový most s nosnou konstrukcí tvořenou ŽB monolitickou deskou. Na obou stranách desky jsou samostatné chodníky ze ŽB stropních panelů. Opěry i křídla jsou z řádkového kvádrového zdiva. Uložení nosné konstrukce je přímé na opěry. Římsy jsou ŽB monolitické. Vozovka na mostě je s živičným krytem. Hydroizolace je vanová, provedená do zvýšených říms.</w:t>
      </w:r>
    </w:p>
    <w:p w:rsidR="007E6FEB" w:rsidRPr="007E6FEB" w:rsidRDefault="007E6FEB" w:rsidP="007E6FEB">
      <w:pPr>
        <w:autoSpaceDE w:val="0"/>
        <w:autoSpaceDN w:val="0"/>
        <w:adjustRightInd w:val="0"/>
        <w:spacing w:after="0" w:line="240" w:lineRule="auto"/>
        <w:rPr>
          <w:rFonts w:ascii="Arial" w:hAnsi="Arial" w:cs="Arial"/>
          <w:sz w:val="20"/>
          <w:szCs w:val="20"/>
          <w:highlight w:val="yellow"/>
        </w:rPr>
      </w:pPr>
    </w:p>
    <w:p w:rsidR="007E6FEB" w:rsidRPr="007E6FEB" w:rsidRDefault="007E6FEB" w:rsidP="007E6FEB">
      <w:pPr>
        <w:jc w:val="both"/>
        <w:rPr>
          <w:rFonts w:ascii="Arial" w:hAnsi="Arial" w:cs="Arial"/>
          <w:sz w:val="20"/>
          <w:szCs w:val="20"/>
          <w:highlight w:val="yellow"/>
        </w:rPr>
      </w:pPr>
      <w:r w:rsidRPr="007E6FEB">
        <w:rPr>
          <w:rFonts w:ascii="Arial" w:hAnsi="Arial" w:cs="Arial"/>
          <w:sz w:val="20"/>
          <w:szCs w:val="20"/>
        </w:rPr>
        <w:t>Volná šířka mostu je 7,10 m, celková šířka 7,60 m. Délka přemostění je 3,52 m, délka nosné konstrukce 4,52 m. Výška mostu nad terénem 2,45 m. Stavební stav nosné konstrukce je ve stupni V – špatný, spodní stavba ve stupni III – dobrý.</w:t>
      </w:r>
    </w:p>
    <w:p w:rsidR="007E6FEB" w:rsidRPr="007E6FEB" w:rsidRDefault="007E6FEB" w:rsidP="007E6FEB">
      <w:pPr>
        <w:autoSpaceDE w:val="0"/>
        <w:autoSpaceDN w:val="0"/>
        <w:adjustRightInd w:val="0"/>
        <w:spacing w:after="0" w:line="240" w:lineRule="auto"/>
        <w:rPr>
          <w:rFonts w:ascii="Arial" w:hAnsi="Arial" w:cs="Arial"/>
          <w:sz w:val="20"/>
          <w:szCs w:val="20"/>
        </w:rPr>
      </w:pPr>
      <w:r w:rsidRPr="007E6FEB">
        <w:rPr>
          <w:rFonts w:ascii="Arial" w:hAnsi="Arial" w:cs="Arial"/>
          <w:sz w:val="20"/>
          <w:szCs w:val="20"/>
        </w:rPr>
        <w:t>Základy mostních podpěr jsou nepřístupné. Při prohlídce nebyly podrobněji diagnostikovány, přičemž bez provedení sond nelze způsob založení zjistit. Poruchy základů nebyly pozorovány. Opěry jsou celistvé, potečené v místě špatně a nevhodně doplněných konstrukcí, tzn. vyústění kanalizací a přidaných panelů pod chodníky (panely nejsou součástí mostu, patří do správy obce). Na podhledu nosné konstrukce jsou viditelné stopy promáčení, výluhy způsobené průsakem do prostoru uložení. Na zasažených místech dochází k opadávání omítek a povrchové degradaci betonu desky. Zatéká na obou stranách mezi původní nosnou konstrukcí a rozšířením o chodník. Zpevněná krajnice je degradovaná. Vozovka je poškozená - tvoří se mozaikové trhliny. Mezi mostem a přidanými panely SPIROLL oběma spárami zatéká. Stav izolace bez provedení sond nelze zjistit, vzhledem ke stavu nosné konstrukce je funkční. Zádlažba dna má lokálně vyplavené spáry.</w:t>
      </w:r>
    </w:p>
    <w:p w:rsidR="007E6FEB" w:rsidRPr="007E6FEB" w:rsidRDefault="007E6FEB" w:rsidP="007E6FEB">
      <w:pPr>
        <w:autoSpaceDE w:val="0"/>
        <w:autoSpaceDN w:val="0"/>
        <w:adjustRightInd w:val="0"/>
        <w:spacing w:after="0" w:line="240" w:lineRule="auto"/>
        <w:rPr>
          <w:rFonts w:ascii="Arial" w:hAnsi="Arial" w:cs="Arial"/>
          <w:color w:val="333333"/>
          <w:sz w:val="20"/>
          <w:szCs w:val="20"/>
          <w:highlight w:val="yellow"/>
          <w:lang w:eastAsia="cs-CZ"/>
        </w:rPr>
      </w:pPr>
    </w:p>
    <w:p w:rsidR="007E6FEB" w:rsidRPr="007E6FEB" w:rsidRDefault="007E6FEB" w:rsidP="007E6FEB">
      <w:pPr>
        <w:jc w:val="both"/>
        <w:rPr>
          <w:rFonts w:ascii="Arial" w:hAnsi="Arial" w:cs="Arial"/>
          <w:sz w:val="20"/>
          <w:szCs w:val="20"/>
        </w:rPr>
      </w:pPr>
      <w:r w:rsidRPr="007E6FEB">
        <w:rPr>
          <w:rFonts w:ascii="Arial" w:hAnsi="Arial" w:cs="Arial"/>
          <w:sz w:val="20"/>
          <w:szCs w:val="20"/>
        </w:rPr>
        <w:t>Zadavatel předpokládá, že stavební realizace bude probíhat za úplného uzavřeného silničního provozu.  Předpokládaná doba realizace stavebních prací - rok 2025.</w:t>
      </w:r>
    </w:p>
    <w:p w:rsidR="007E6FEB" w:rsidRPr="007E6FEB" w:rsidRDefault="007E6FEB" w:rsidP="007E6FEB">
      <w:pPr>
        <w:jc w:val="both"/>
        <w:rPr>
          <w:rFonts w:ascii="Arial" w:hAnsi="Arial" w:cs="Arial"/>
          <w:sz w:val="20"/>
          <w:szCs w:val="20"/>
        </w:rPr>
      </w:pPr>
      <w:r w:rsidRPr="007E6FEB">
        <w:rPr>
          <w:rFonts w:ascii="Arial" w:hAnsi="Arial" w:cs="Arial"/>
          <w:sz w:val="20"/>
          <w:szCs w:val="20"/>
        </w:rPr>
        <w:t>Projektové dokumentace v jednotlivých stupních budou vypracovány v rozsahu daném platnými předpisy v době zpracování a předání dokončeného předmětu plnění.</w:t>
      </w:r>
    </w:p>
    <w:p w:rsidR="007E6FEB" w:rsidRPr="007E6FEB" w:rsidRDefault="007E6FEB" w:rsidP="007E6FEB">
      <w:pPr>
        <w:rPr>
          <w:rFonts w:ascii="Arial" w:hAnsi="Arial" w:cs="Arial"/>
          <w:b/>
          <w:sz w:val="20"/>
          <w:szCs w:val="20"/>
          <w:u w:val="single"/>
        </w:rPr>
      </w:pPr>
      <w:r w:rsidRPr="007E6FEB">
        <w:rPr>
          <w:rFonts w:ascii="Arial" w:hAnsi="Arial" w:cs="Arial"/>
          <w:b/>
          <w:sz w:val="20"/>
          <w:szCs w:val="20"/>
          <w:u w:val="single"/>
        </w:rPr>
        <w:t>Technické podmínky</w:t>
      </w:r>
    </w:p>
    <w:p w:rsidR="007E6FEB" w:rsidRPr="007E6FEB" w:rsidRDefault="007E6FEB" w:rsidP="007E6FEB">
      <w:pPr>
        <w:spacing w:after="120"/>
        <w:jc w:val="both"/>
        <w:rPr>
          <w:rFonts w:ascii="Arial" w:hAnsi="Arial" w:cs="Arial"/>
          <w:sz w:val="20"/>
          <w:szCs w:val="20"/>
          <w:u w:val="single"/>
        </w:rPr>
      </w:pPr>
      <w:r w:rsidRPr="007E6FEB">
        <w:rPr>
          <w:rFonts w:ascii="Arial" w:hAnsi="Arial" w:cs="Arial"/>
          <w:sz w:val="20"/>
          <w:szCs w:val="20"/>
          <w:u w:val="single"/>
        </w:rPr>
        <w:t>Vypracování dokumentace pro společné územní a stavební povolení a pro provádění stavby</w:t>
      </w:r>
    </w:p>
    <w:p w:rsidR="007E6FEB" w:rsidRPr="007E6FEB" w:rsidRDefault="007E6FEB" w:rsidP="007E6FEB">
      <w:pPr>
        <w:jc w:val="both"/>
        <w:rPr>
          <w:rFonts w:ascii="Arial" w:hAnsi="Arial" w:cs="Arial"/>
          <w:sz w:val="20"/>
          <w:szCs w:val="20"/>
        </w:rPr>
      </w:pPr>
      <w:r w:rsidRPr="007E6FEB">
        <w:rPr>
          <w:rFonts w:ascii="Arial" w:hAnsi="Arial" w:cs="Arial"/>
          <w:sz w:val="20"/>
          <w:szCs w:val="20"/>
        </w:rPr>
        <w:t>Rozsah a obsah dokumentace je stanoven Směrnicí pro dokumentaci staveb pozemních komunikací, schválenou Ministerstvem dopravy, č. j. 158/2017-120-TN/1 ze dne 9. 8. 2017 s účinností ode dne 14. 8. 2017 (platný Dodatek č. 1 byl schválen MD-OPK pod č. j. 66/2018-120-TN ze dne 19.3.2018 s účinností od 1.4.2018); a</w:t>
      </w:r>
      <w:r w:rsidRPr="007E6FEB">
        <w:rPr>
          <w:rFonts w:ascii="Arial" w:hAnsi="Arial" w:cs="Arial"/>
          <w:sz w:val="20"/>
          <w:szCs w:val="20"/>
          <w:lang w:eastAsia="cs-CZ"/>
        </w:rPr>
        <w:t xml:space="preserve"> dále</w:t>
      </w:r>
      <w:r w:rsidRPr="007E6FEB">
        <w:rPr>
          <w:rFonts w:ascii="Arial" w:hAnsi="Arial" w:cs="Arial"/>
          <w:sz w:val="20"/>
          <w:szCs w:val="20"/>
        </w:rPr>
        <w:t xml:space="preserve"> aktuálním zněním vyhlášky č. 499/2006 Sb., o dokumentaci staveb; aktuálním </w:t>
      </w:r>
      <w:r w:rsidRPr="007E6FEB">
        <w:rPr>
          <w:rFonts w:ascii="Arial" w:hAnsi="Arial" w:cs="Arial"/>
          <w:sz w:val="20"/>
          <w:szCs w:val="20"/>
        </w:rPr>
        <w:lastRenderedPageBreak/>
        <w:t xml:space="preserve">zněním vyhlášky č. 169/2016 Sb., o stanovení rozsahu dokumentace veřejné zakázky na stavební práce a soupisu stavebních prací, dodávek a služeb; a aktuálním zněním vyhlášky č. 146/2008 Sb. o rozsahu o obsahu projektové dokumentace dopravních staveb; a bude obsahovat zejména: </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Vlastní návrh technického řešení rekonstrukce mostu (projednaný mezi zhotovitelem a zadavatelem na vstupním výrobním výboru) dle výsledku zpracovaného diagnostického průzkumu</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Geodetické zaměření předmětného území (výškopisné a polohopisné zaměření) v potřebném rozsahu rekonstrukce mostu</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Zákres stavby do aktuální katastrální mapy</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 xml:space="preserve">Zpracování Geometrického plánu, jeho projednání a vklad na příslušný Katastrální úřad pro zapsání věcného břemene (služebnosti) u případného trvalého záboru mostu na pozemku, se kterým hospodaří Povodí Moravy, s. p., pro možnost následného majetkoprávního vypořádání zadavatelem </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Podrobný inženýrskogeologický, geotechnický a hydrogeologický průzkum daného území (pokud bude pro zpracování PD a vydání příslušných stanovisek a povolení nutné)</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Vytyčovací výkres stavby</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Definitivní dopravní značení včetně příslušných projednání</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Situace v měřítku min. 1:500</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Zásady organizace výstavby</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Statický výpočet, hydrotechnický výpočet</w:t>
      </w:r>
    </w:p>
    <w:p w:rsidR="007E6FEB" w:rsidRPr="007E6FEB" w:rsidRDefault="007E6FEB" w:rsidP="007E6FEB">
      <w:pPr>
        <w:pStyle w:val="Odstavecseseznamem"/>
        <w:numPr>
          <w:ilvl w:val="0"/>
          <w:numId w:val="21"/>
        </w:numPr>
        <w:ind w:left="567" w:hanging="425"/>
        <w:jc w:val="both"/>
        <w:rPr>
          <w:rFonts w:ascii="Arial" w:hAnsi="Arial" w:cs="Arial"/>
          <w:sz w:val="20"/>
          <w:szCs w:val="20"/>
        </w:rPr>
      </w:pPr>
      <w:r w:rsidRPr="007E6FEB">
        <w:rPr>
          <w:rFonts w:ascii="Arial" w:hAnsi="Arial" w:cs="Arial"/>
          <w:sz w:val="20"/>
          <w:szCs w:val="20"/>
        </w:rPr>
        <w:t>Návrh kácení stromů včetně vyznačení v situaci, dendrologický průzkum (pokud bude pro zpracování PD a vydání příslušných stanovisek a povolení nutné), zajištění povolení ke kácení stromů je věcí zadavatele. V případě, že příslušný správní orgán povolí kácení dřevin dle PD, je nutné zjistit, zda se v dutinách stromů nenachází zvláště chráněné druhy živočichů – zejména netopýři, sovy či dřevokazní brouci (v tomto případě bude nutno zhotovitelem PD zažádat o výjimku z ochrany zvláště chráněných druhů na odboru životního prostředí Krajského úřadu Kraje Vysočina).</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Prověření průběhu inženýrských sítí, přeložky inženýrských sítí</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Záborový elaborát s tabulkou dotčených pozemků pro dočasný a trvalý zábor a zákres do katastrální mapy včetně sousedních pozemků, pro zřízení věcných břemen bude vyčísleno dotčení jednotlivých pozemků</w:t>
      </w:r>
    </w:p>
    <w:p w:rsidR="007E6FEB" w:rsidRPr="007E6FEB" w:rsidRDefault="007E6FEB" w:rsidP="007E6FEB">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7E6FEB">
        <w:rPr>
          <w:rFonts w:ascii="Arial" w:hAnsi="Arial" w:cs="Arial"/>
          <w:sz w:val="20"/>
          <w:szCs w:val="20"/>
        </w:rPr>
        <w:t>Zajištění souhlasu s vynětím pozemků trvale dotčených stavbou silnice ze ZPF a PUPFL včetně zpracování Pedologického průzkumu</w:t>
      </w:r>
    </w:p>
    <w:p w:rsidR="007E6FEB" w:rsidRPr="007E6FEB" w:rsidRDefault="007E6FEB" w:rsidP="007E6FEB">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7E6FEB">
        <w:rPr>
          <w:rFonts w:ascii="Arial" w:hAnsi="Arial" w:cs="Arial"/>
          <w:sz w:val="20"/>
          <w:szCs w:val="20"/>
        </w:rPr>
        <w:t>Zajištění souhlasu s dočasným vynětím pozemků dočasného záboru ze ZPF</w:t>
      </w:r>
    </w:p>
    <w:p w:rsidR="007E6FEB" w:rsidRPr="007E6FEB" w:rsidRDefault="007E6FEB" w:rsidP="007E6FEB">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7E6FEB">
        <w:rPr>
          <w:rFonts w:ascii="Arial" w:hAnsi="Arial" w:cs="Arial"/>
          <w:sz w:val="20"/>
          <w:szCs w:val="20"/>
        </w:rPr>
        <w:t>Součinnost zhotovitele při jednáních s vlastníky dotčených pozemků</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Odhad stavebních nákladů</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Vyřešení nakládání s odpady dle vyhlášky č. 130/2019 v aktuálním znění vyhlášky, kdy u stávajících směsí stmelených asfaltovými pojivy bude např. provedením a rozborem jádrového odvrtu prověřen obsah PAU (dehtu), a v případě jeho zastižení bude tato směs jako odpad v maximální možné znovupoužita na stavbě, čemuž bude přizpůsobeno technické řešení</w:t>
      </w:r>
    </w:p>
    <w:p w:rsidR="007E6FEB" w:rsidRPr="007E6FEB" w:rsidRDefault="007E6FEB" w:rsidP="007E6FEB">
      <w:pPr>
        <w:pStyle w:val="Odstavecseseznamem"/>
        <w:numPr>
          <w:ilvl w:val="0"/>
          <w:numId w:val="21"/>
        </w:numPr>
        <w:spacing w:after="120"/>
        <w:ind w:left="567" w:hanging="425"/>
        <w:jc w:val="both"/>
        <w:rPr>
          <w:rFonts w:ascii="Arial" w:hAnsi="Arial" w:cs="Arial"/>
          <w:sz w:val="20"/>
          <w:szCs w:val="20"/>
        </w:rPr>
      </w:pPr>
      <w:r w:rsidRPr="007E6FEB">
        <w:rPr>
          <w:rFonts w:ascii="Arial" w:hAnsi="Arial" w:cs="Arial"/>
          <w:sz w:val="20"/>
          <w:szCs w:val="20"/>
        </w:rPr>
        <w:t xml:space="preserve">Podání žádosti o společné územní a stavební povolení, zajištění vydání ÚSP včetně potřebné inženýrské činnosti (např. dořešení změn PD v průběhu ÚSŘ), získání doložky nabytí právní moci ÚSP </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Výkaz výměr s bilancí zemních prací</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Dopravně inženýrská opatření (DIO) po dobu provádění stavebních prací, návrh objízdných tras, svislé dopravní značení pro dopravní opatření (zřízení a odstranění) bude navrženo dle TP 66 pro provizorní dopravní značení</w:t>
      </w:r>
    </w:p>
    <w:p w:rsidR="007E6FEB" w:rsidRPr="007E6FEB" w:rsidRDefault="007E6FEB" w:rsidP="007E6FEB">
      <w:pPr>
        <w:pStyle w:val="Odstavecseseznamem"/>
        <w:numPr>
          <w:ilvl w:val="0"/>
          <w:numId w:val="21"/>
        </w:numPr>
        <w:overflowPunct w:val="0"/>
        <w:autoSpaceDE w:val="0"/>
        <w:autoSpaceDN w:val="0"/>
        <w:spacing w:after="0"/>
        <w:ind w:left="567" w:hanging="425"/>
        <w:jc w:val="both"/>
        <w:textAlignment w:val="baseline"/>
        <w:rPr>
          <w:rFonts w:ascii="Arial" w:hAnsi="Arial" w:cs="Arial"/>
          <w:sz w:val="20"/>
          <w:szCs w:val="20"/>
          <w:u w:val="single"/>
        </w:rPr>
      </w:pPr>
      <w:r w:rsidRPr="007E6FEB">
        <w:rPr>
          <w:rFonts w:ascii="Arial" w:hAnsi="Arial" w:cs="Arial"/>
          <w:sz w:val="20"/>
          <w:szCs w:val="20"/>
        </w:rPr>
        <w:t xml:space="preserve">Plán BOZP potvrzený koordinátorem BOZP - </w:t>
      </w:r>
      <w:r w:rsidRPr="007E6FEB">
        <w:rPr>
          <w:rFonts w:ascii="Arial" w:hAnsi="Arial" w:cs="Arial"/>
          <w:b/>
          <w:bCs/>
          <w:sz w:val="20"/>
          <w:szCs w:val="20"/>
          <w:u w:val="single"/>
        </w:rPr>
        <w:t>zhotovitel PD sdělí na VVV kontaktní údaje na koordinátora BOZP pro zpracování Plánu BOZP příslušnému zástupci ve věcech technických, který zajistí administraci objednávky Plánu BOZP na příslušného koordinátora BOZP</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 xml:space="preserve">Zajištění projednání, potřebných kladných vyjádření a souhlasných stanovisek všech orgánů státní správy a samosprávy, organizací a správců dotčených inženýrských sítí pro vydání společného </w:t>
      </w:r>
      <w:r w:rsidRPr="007E6FEB">
        <w:rPr>
          <w:rFonts w:ascii="Arial" w:hAnsi="Arial" w:cs="Arial"/>
          <w:sz w:val="20"/>
          <w:szCs w:val="20"/>
        </w:rPr>
        <w:lastRenderedPageBreak/>
        <w:t>územního a stavebního povolení, vč. případného následného zapracování změn do projektové dokumentace</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Havarijní a povodňový plán</w:t>
      </w:r>
    </w:p>
    <w:p w:rsidR="007E6FEB" w:rsidRPr="007E6FEB" w:rsidRDefault="007E6FEB" w:rsidP="007E6FEB">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E6FEB">
        <w:rPr>
          <w:rFonts w:ascii="Arial" w:hAnsi="Arial" w:cs="Arial"/>
          <w:sz w:val="20"/>
          <w:szCs w:val="20"/>
        </w:rPr>
        <w:t>Neoceněný soupis prací, oceněný soupis prací (kontrolní rozpočet pro potřeby zadavatele), soupis prací bude zpracován v rozpočtovém programu Aspe (v oborovém třídníku stavebních konstrukcí OTSKP) v souladu s vyhláškou č. 499/2006 Sb. o dokumentaci staveb, v platném znění; a vyhláškou č. 169/2016 Sb., o stanovení rozsahu dokumentace veřejné zakázky na stavební práce a soupisu stavebních prací, dodávek a služeb, v platném znění</w:t>
      </w:r>
    </w:p>
    <w:p w:rsidR="007E6FEB" w:rsidRPr="007E6FEB" w:rsidRDefault="007E6FEB" w:rsidP="007E6FEB">
      <w:pPr>
        <w:spacing w:after="120"/>
        <w:jc w:val="both"/>
        <w:rPr>
          <w:rFonts w:ascii="Arial" w:hAnsi="Arial" w:cs="Arial"/>
          <w:sz w:val="20"/>
          <w:szCs w:val="20"/>
        </w:rPr>
      </w:pPr>
      <w:r w:rsidRPr="007E6FEB">
        <w:rPr>
          <w:rFonts w:ascii="Arial" w:hAnsi="Arial" w:cs="Arial"/>
          <w:sz w:val="20"/>
          <w:szCs w:val="20"/>
        </w:rPr>
        <w:t>Majetkoprávní příprava, včetně zajištění příslušných smluv není součástí předmětu plnění a bude realizována zadavatelem. Zhotovitel zajistí pouze souhlasy dotčených vlastníků pozemků na situační výkres stavby v souladu s §110 a §184a zákona 183/2006 Sb., o územním plánování a stavebním řádu, v platném znění (stavební zákon), s účinností od 1. 1. 2018. Zhotovitel je však dále povinen spolupracovat se zadavatelem při jednání s vlastníky, tj. písemně informovat vlastníky dotčených pozemků o záměru realizovat stavbu, odpovídat na případné otázky vlastníků dotčených pozemků týkajících se technických záležitostí stavby a svolat výrobní výbor za účasti vlastníků dotčených pozemků, zástupců zadavatele a zástupců obcí,  v jejímž katastru se bude záměr realizovat.</w:t>
      </w:r>
    </w:p>
    <w:p w:rsidR="007E6FEB" w:rsidRPr="007E6FEB" w:rsidRDefault="007E6FEB" w:rsidP="007E6FEB">
      <w:pPr>
        <w:spacing w:after="120"/>
        <w:jc w:val="both"/>
        <w:rPr>
          <w:rFonts w:ascii="Arial" w:hAnsi="Arial" w:cs="Arial"/>
          <w:sz w:val="20"/>
          <w:szCs w:val="20"/>
        </w:rPr>
      </w:pPr>
      <w:r w:rsidRPr="007E6FEB">
        <w:rPr>
          <w:rFonts w:ascii="Arial" w:hAnsi="Arial" w:cs="Arial"/>
          <w:sz w:val="20"/>
          <w:szCs w:val="20"/>
        </w:rPr>
        <w:t>Dokumentace bude projednána na výrobních výborech (minimálně 3x) za účasti všech orgánů, organizací a vlastníků pozemků, dotčených touto stavbou. Před dokončením a odevzdáním každého stupně projektové dokumentace (tj. DUSP a PDPS) budou svolány tzv. technicko-dokumentační komise (TDK) za účasti zástupců zřizovatele KSÚSV (Odbor dopravy a silničního hospodářství Kraje Vysočina). Zadavateli a zástupci zřizovatele bude zhotovitelem v dostatečném předstihu (7 dní) zaslána projektová dokumentace jako podklad pro TDK. Výrobní výbory a TDK svolává a zápis vyhotovuje zhotovitel projektové dokumentace.</w:t>
      </w:r>
    </w:p>
    <w:p w:rsidR="007E6FEB" w:rsidRPr="007E6FEB" w:rsidRDefault="007E6FEB" w:rsidP="007E6FEB">
      <w:pPr>
        <w:overflowPunct w:val="0"/>
        <w:autoSpaceDE w:val="0"/>
        <w:autoSpaceDN w:val="0"/>
        <w:adjustRightInd w:val="0"/>
        <w:spacing w:after="120"/>
        <w:jc w:val="both"/>
        <w:textAlignment w:val="baseline"/>
        <w:rPr>
          <w:rFonts w:ascii="Arial" w:hAnsi="Arial" w:cs="Arial"/>
          <w:sz w:val="20"/>
          <w:szCs w:val="20"/>
        </w:rPr>
      </w:pPr>
      <w:r w:rsidRPr="007E6FEB">
        <w:rPr>
          <w:rFonts w:ascii="Arial" w:hAnsi="Arial" w:cs="Arial"/>
          <w:sz w:val="20"/>
          <w:szCs w:val="20"/>
        </w:rPr>
        <w:t>Po definitivním odsouhlasení zadavatelem bude následně projektová dokumentace ve stupni pro vydání společného územního a stavebního povolení (DUSP) a prováděcí dokumentace (PDPS) předána zadavateli v tištěné podobě a na CD (v plném rozsahu tištěné podoby) v následujícím počtu:</w:t>
      </w:r>
    </w:p>
    <w:p w:rsidR="007E6FEB" w:rsidRPr="007E6FEB" w:rsidRDefault="007E6FEB" w:rsidP="007E6FEB">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E6FEB">
        <w:rPr>
          <w:rFonts w:ascii="Arial" w:hAnsi="Arial" w:cs="Arial"/>
          <w:sz w:val="20"/>
          <w:szCs w:val="20"/>
        </w:rPr>
        <w:t xml:space="preserve">DUSP - 3x v tištěné podobě, vč. dokladové části ve všech paré, 1x v digitální ve formátu *.dwg a *.pdf </w:t>
      </w:r>
    </w:p>
    <w:p w:rsidR="007E6FEB" w:rsidRPr="007E6FEB" w:rsidRDefault="007E6FEB" w:rsidP="007E6FEB">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E6FEB">
        <w:rPr>
          <w:rFonts w:ascii="Arial" w:hAnsi="Arial" w:cs="Arial"/>
          <w:sz w:val="20"/>
          <w:szCs w:val="20"/>
        </w:rPr>
        <w:t>Záborový elaborát – 1x v tištěné podobě, 1x v digitální ve formátu *.pdf nebo *.xls</w:t>
      </w:r>
    </w:p>
    <w:p w:rsidR="007E6FEB" w:rsidRPr="007E6FEB" w:rsidRDefault="007E6FEB" w:rsidP="007E6FEB">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E6FEB">
        <w:rPr>
          <w:rFonts w:ascii="Arial" w:hAnsi="Arial" w:cs="Arial"/>
          <w:sz w:val="20"/>
          <w:szCs w:val="20"/>
        </w:rPr>
        <w:t>Geodetické zaměření – 1x v tištěné podobě, 1x v digitální ve formátu *.dwg a *.pdf a vytyčovací síť vytyčovaných bodů ve formátu *.doc, *.xls nebo *.txt</w:t>
      </w:r>
    </w:p>
    <w:p w:rsidR="007E6FEB" w:rsidRPr="007E6FEB" w:rsidRDefault="007E6FEB" w:rsidP="007E6FEB">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E6FEB">
        <w:rPr>
          <w:rFonts w:ascii="Arial" w:hAnsi="Arial" w:cs="Arial"/>
          <w:sz w:val="20"/>
          <w:szCs w:val="20"/>
        </w:rPr>
        <w:t>Výsledky inženýrsko-geologického průzkumu předmětného území</w:t>
      </w:r>
    </w:p>
    <w:p w:rsidR="007E6FEB" w:rsidRPr="007E6FEB" w:rsidRDefault="007E6FEB" w:rsidP="007E6FEB">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E6FEB">
        <w:rPr>
          <w:rFonts w:ascii="Arial" w:hAnsi="Arial" w:cs="Arial"/>
          <w:sz w:val="20"/>
          <w:szCs w:val="20"/>
        </w:rPr>
        <w:t>Odhad stavebních nákladů – 1x v tištěné podobě, 1x v digitální ve formátu *.pdf nebo *.xls</w:t>
      </w:r>
    </w:p>
    <w:p w:rsidR="007E6FEB" w:rsidRPr="007E6FEB" w:rsidRDefault="007E6FEB" w:rsidP="007E6FEB">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E6FEB">
        <w:rPr>
          <w:rFonts w:ascii="Arial" w:hAnsi="Arial" w:cs="Arial"/>
          <w:sz w:val="20"/>
          <w:szCs w:val="20"/>
        </w:rPr>
        <w:t xml:space="preserve">PDPS - 5x v tištěné podobě, 1x v digitální ve formátu *.dwg a *.pdf </w:t>
      </w:r>
    </w:p>
    <w:p w:rsidR="007E6FEB" w:rsidRPr="007E6FEB" w:rsidRDefault="007E6FEB" w:rsidP="007E6FEB">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E6FEB">
        <w:rPr>
          <w:rFonts w:ascii="Arial" w:hAnsi="Arial" w:cs="Arial"/>
          <w:sz w:val="20"/>
          <w:szCs w:val="20"/>
        </w:rPr>
        <w:t>Oceněný soupis prací – 1x v tištěné podobě, 1x v digitální ve formátu *.xls(x), *.pdf a *.xml (exportní soubor z Aspe ve formátu XC4)</w:t>
      </w:r>
    </w:p>
    <w:p w:rsidR="007E6FEB" w:rsidRPr="007E6FEB" w:rsidRDefault="007E6FEB" w:rsidP="007E6FEB">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E6FEB">
        <w:rPr>
          <w:rFonts w:ascii="Arial" w:hAnsi="Arial" w:cs="Arial"/>
          <w:sz w:val="20"/>
          <w:szCs w:val="20"/>
        </w:rPr>
        <w:t>Neoceněný soupis prací – 1x v tištěné podobě, 1x v digitální ve formátu *.xls(x), *.pdf a *.xml (exportní soubor z Aspe ve formátu XC4)</w:t>
      </w:r>
    </w:p>
    <w:p w:rsidR="007E6FEB" w:rsidRPr="007E6FEB" w:rsidRDefault="007E6FEB" w:rsidP="007E6FEB">
      <w:pPr>
        <w:overflowPunct w:val="0"/>
        <w:autoSpaceDE w:val="0"/>
        <w:autoSpaceDN w:val="0"/>
        <w:adjustRightInd w:val="0"/>
        <w:spacing w:before="240" w:after="120"/>
        <w:jc w:val="both"/>
        <w:textAlignment w:val="baseline"/>
        <w:rPr>
          <w:rFonts w:ascii="Arial" w:hAnsi="Arial" w:cs="Arial"/>
          <w:sz w:val="20"/>
          <w:szCs w:val="20"/>
          <w:u w:val="single"/>
        </w:rPr>
      </w:pPr>
      <w:r w:rsidRPr="007E6FEB">
        <w:rPr>
          <w:rFonts w:ascii="Arial" w:hAnsi="Arial" w:cs="Arial"/>
          <w:sz w:val="20"/>
          <w:szCs w:val="20"/>
          <w:u w:val="single"/>
        </w:rPr>
        <w:t>Zajištění vydání potřebných společných územních a stavebních povolení</w:t>
      </w:r>
    </w:p>
    <w:p w:rsidR="007E6FEB" w:rsidRPr="007E6FEB" w:rsidRDefault="007E6FEB" w:rsidP="007E6FEB">
      <w:pPr>
        <w:tabs>
          <w:tab w:val="num" w:pos="-1560"/>
        </w:tabs>
        <w:jc w:val="both"/>
        <w:rPr>
          <w:rFonts w:ascii="Arial" w:hAnsi="Arial" w:cs="Arial"/>
          <w:bCs/>
          <w:sz w:val="20"/>
          <w:szCs w:val="20"/>
        </w:rPr>
      </w:pPr>
      <w:r w:rsidRPr="007E6FEB">
        <w:rPr>
          <w:rFonts w:ascii="Arial" w:hAnsi="Arial" w:cs="Arial"/>
          <w:bCs/>
          <w:sz w:val="20"/>
          <w:szCs w:val="20"/>
        </w:rPr>
        <w:t xml:space="preserve">Zhotovitel zajistí zpracování potřebných žádostí o vydání společných územních a stavebních povolení včetně všech požadovaných příloh, vyjádření a stanovisek a podání řádných žádostí k příslušným stavebním úřadům dle jednotlivých stavebních objektů a příslušnosti k úřadu, který stavební objekty povoluje. </w:t>
      </w:r>
    </w:p>
    <w:p w:rsidR="007E6FEB" w:rsidRPr="007E6FEB" w:rsidRDefault="007E6FEB" w:rsidP="007E6FEB">
      <w:pPr>
        <w:tabs>
          <w:tab w:val="num" w:pos="-1560"/>
        </w:tabs>
        <w:jc w:val="both"/>
        <w:rPr>
          <w:rFonts w:ascii="Arial" w:hAnsi="Arial" w:cs="Arial"/>
          <w:bCs/>
          <w:sz w:val="20"/>
          <w:szCs w:val="20"/>
        </w:rPr>
      </w:pPr>
      <w:r w:rsidRPr="007E6FEB">
        <w:rPr>
          <w:rFonts w:ascii="Arial" w:hAnsi="Arial" w:cs="Arial"/>
          <w:bCs/>
          <w:sz w:val="20"/>
          <w:szCs w:val="20"/>
        </w:rPr>
        <w:t>Před podáním žádostí na příslušné stavební úřady, je zhotovitel povinen odsouhlasit si tyto žádosti včetně všech příloh se zástupci zadavatele.</w:t>
      </w:r>
    </w:p>
    <w:p w:rsidR="007E6FEB" w:rsidRPr="007E6FEB" w:rsidRDefault="007E6FEB" w:rsidP="007E6FEB">
      <w:pPr>
        <w:tabs>
          <w:tab w:val="num" w:pos="-1560"/>
        </w:tabs>
        <w:spacing w:after="0"/>
        <w:jc w:val="both"/>
        <w:rPr>
          <w:rFonts w:ascii="Arial" w:hAnsi="Arial" w:cs="Arial"/>
          <w:bCs/>
          <w:sz w:val="20"/>
          <w:szCs w:val="20"/>
        </w:rPr>
      </w:pPr>
      <w:r w:rsidRPr="007E6FEB">
        <w:rPr>
          <w:rFonts w:ascii="Arial" w:hAnsi="Arial" w:cs="Arial"/>
          <w:bCs/>
          <w:sz w:val="20"/>
          <w:szCs w:val="20"/>
        </w:rPr>
        <w:t xml:space="preserve">Pravomocná stavební povolení budou předány zadavateli: </w:t>
      </w:r>
    </w:p>
    <w:p w:rsidR="007E6FEB" w:rsidRPr="007E6FEB" w:rsidRDefault="007E6FEB" w:rsidP="007E6FEB">
      <w:pPr>
        <w:numPr>
          <w:ilvl w:val="0"/>
          <w:numId w:val="23"/>
        </w:numPr>
        <w:tabs>
          <w:tab w:val="clear" w:pos="360"/>
        </w:tabs>
        <w:overflowPunct w:val="0"/>
        <w:autoSpaceDE w:val="0"/>
        <w:autoSpaceDN w:val="0"/>
        <w:adjustRightInd w:val="0"/>
        <w:spacing w:after="0"/>
        <w:ind w:left="567" w:hanging="425"/>
        <w:jc w:val="both"/>
        <w:textAlignment w:val="baseline"/>
        <w:rPr>
          <w:rFonts w:ascii="Arial" w:hAnsi="Arial" w:cs="Arial"/>
          <w:sz w:val="20"/>
          <w:szCs w:val="20"/>
        </w:rPr>
      </w:pPr>
      <w:r w:rsidRPr="007E6FEB">
        <w:rPr>
          <w:rFonts w:ascii="Arial" w:hAnsi="Arial" w:cs="Arial"/>
          <w:sz w:val="20"/>
          <w:szCs w:val="20"/>
        </w:rPr>
        <w:lastRenderedPageBreak/>
        <w:t>1x originál každého společného územního a stavebního povolení (ÚSP) v písemné podobě s vyznačením nabytí právní moci + projektová dokumentace pro společné územní a stavební povolení (DUSP) ověřená stavebním úřadem</w:t>
      </w:r>
    </w:p>
    <w:p w:rsidR="007E6FEB" w:rsidRPr="007E6FEB" w:rsidRDefault="007E6FEB" w:rsidP="007E6FEB">
      <w:pPr>
        <w:overflowPunct w:val="0"/>
        <w:autoSpaceDE w:val="0"/>
        <w:autoSpaceDN w:val="0"/>
        <w:adjustRightInd w:val="0"/>
        <w:spacing w:before="240" w:after="120"/>
        <w:jc w:val="both"/>
        <w:textAlignment w:val="baseline"/>
        <w:rPr>
          <w:rFonts w:ascii="Arial" w:hAnsi="Arial" w:cs="Arial"/>
          <w:sz w:val="20"/>
          <w:szCs w:val="20"/>
          <w:u w:val="single"/>
        </w:rPr>
      </w:pPr>
      <w:r w:rsidRPr="007E6FEB">
        <w:rPr>
          <w:rFonts w:ascii="Arial" w:hAnsi="Arial" w:cs="Arial"/>
          <w:sz w:val="20"/>
          <w:szCs w:val="20"/>
          <w:u w:val="single"/>
        </w:rPr>
        <w:t>Výkon autorského dozoru</w:t>
      </w:r>
    </w:p>
    <w:p w:rsidR="007E6FEB" w:rsidRPr="007E6FEB" w:rsidRDefault="007E6FEB" w:rsidP="007E6FEB">
      <w:pPr>
        <w:pStyle w:val="Zkladntextodsazen21"/>
        <w:spacing w:after="240" w:line="276" w:lineRule="auto"/>
        <w:ind w:left="0" w:firstLine="0"/>
        <w:rPr>
          <w:rFonts w:ascii="Arial" w:hAnsi="Arial" w:cs="Arial"/>
          <w:sz w:val="20"/>
        </w:rPr>
      </w:pPr>
      <w:r w:rsidRPr="007E6FEB">
        <w:rPr>
          <w:rFonts w:ascii="Arial" w:hAnsi="Arial" w:cs="Arial"/>
          <w:sz w:val="20"/>
        </w:rPr>
        <w:t xml:space="preserve">Výkonem autorského dozoru (AD) se rozumí uskutečnění činností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7E6FEB" w:rsidRPr="007E6FEB" w:rsidRDefault="007E6FEB" w:rsidP="007E6FEB">
      <w:pPr>
        <w:pStyle w:val="Zkladntextodsazen21"/>
        <w:spacing w:after="240" w:line="276" w:lineRule="auto"/>
        <w:ind w:left="0" w:firstLine="0"/>
        <w:rPr>
          <w:rFonts w:ascii="Arial" w:hAnsi="Arial" w:cs="Arial"/>
          <w:sz w:val="20"/>
        </w:rPr>
      </w:pPr>
      <w:r w:rsidRPr="007E6FEB">
        <w:rPr>
          <w:rFonts w:ascii="Arial" w:hAnsi="Arial" w:cs="Arial"/>
          <w:sz w:val="20"/>
        </w:rPr>
        <w:t>Zhotovitel je povinen při plnění AD poskytnout svoji součinnost vždy bezodkladně poté, kdy bude k tomu zadavatelem vyzván nebo poté, kdy takovou potřebu sám zjistí.</w:t>
      </w:r>
    </w:p>
    <w:p w:rsidR="007E6FEB" w:rsidRPr="007E6FEB" w:rsidRDefault="007E6FEB" w:rsidP="007E6FEB">
      <w:pPr>
        <w:pStyle w:val="Zkladntextodsazen21"/>
        <w:spacing w:line="276" w:lineRule="auto"/>
        <w:ind w:left="0" w:firstLine="0"/>
        <w:rPr>
          <w:rFonts w:ascii="Arial" w:hAnsi="Arial" w:cs="Arial"/>
          <w:sz w:val="20"/>
        </w:rPr>
      </w:pPr>
      <w:r w:rsidRPr="007E6FEB">
        <w:rPr>
          <w:rFonts w:ascii="Arial" w:hAnsi="Arial" w:cs="Arial"/>
          <w:sz w:val="20"/>
        </w:rPr>
        <w:t>Předmětem výkonu AD je především:</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účastnit se předání staveniště dodavateli</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dohled nad realizací díla</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kontrola dodržování projektové dokumentace s přihlédnutím na podmínky určené stavebním povolením, souhlasem stavebního úřadu, případně nařízením nezbytných stavebních úprav</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posuzování postupu výstavby z technického hlediska a z hlediska časového plánu výstavby</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sledování a kontrola technických a kvalitativních parametrů stavby</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řešit drobné odchylky od projektu, které nebudou vyžadovat zpracování nového projektu případně jeho části nebo dodatku projektové dokumentace</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posuzovat návrhy zadavatele stavby na změny a odchylky v částech projektů zpracovávaných v rámci realizační dokumentace z pohledu dodržení technicko-ekonomických parametrů, dodržení lhůt výstavby, případně dalších údajů a ukazatelů</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vyjádření k požadavkům na zvětšený rozsah stavebních prací a dodávek materiálu oproti projektové dokumentaci</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 xml:space="preserve">účast na kontrolních dnech stavby </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 xml:space="preserve">účast na přejímacím řízení stavby a jejích dílčích částech, případné kolaudaci stavby a řádně spolupracovat při těchto řízeních </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provádění projekčních prací menšího rozsahu (doplňky a změny)</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poskytovat technické konzultace potřebné pro plynulost výstavby</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E6FEB">
        <w:rPr>
          <w:rFonts w:ascii="Arial" w:hAnsi="Arial" w:cs="Arial"/>
          <w:sz w:val="20"/>
          <w:szCs w:val="20"/>
        </w:rPr>
        <w:t>konzultovat a podávat upřesnění při vypracování realizační dokumentace</w:t>
      </w:r>
    </w:p>
    <w:p w:rsidR="007E6FEB" w:rsidRPr="007E6FEB" w:rsidRDefault="007E6FEB" w:rsidP="007E6FEB">
      <w:pPr>
        <w:pStyle w:val="Zkladntext"/>
        <w:numPr>
          <w:ilvl w:val="0"/>
          <w:numId w:val="23"/>
        </w:numPr>
        <w:tabs>
          <w:tab w:val="clear" w:pos="360"/>
          <w:tab w:val="num" w:pos="426"/>
          <w:tab w:val="num" w:pos="567"/>
        </w:tabs>
        <w:overflowPunct/>
        <w:autoSpaceDE/>
        <w:autoSpaceDN/>
        <w:adjustRightInd/>
        <w:spacing w:line="276" w:lineRule="auto"/>
        <w:textAlignment w:val="auto"/>
        <w:rPr>
          <w:rFonts w:ascii="Arial" w:hAnsi="Arial" w:cs="Arial"/>
          <w:sz w:val="20"/>
          <w:szCs w:val="20"/>
        </w:rPr>
      </w:pPr>
      <w:r w:rsidRPr="007E6FEB">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7E6FEB" w:rsidRPr="007E6FEB" w:rsidRDefault="007E6FEB" w:rsidP="007E6FEB">
      <w:pPr>
        <w:pStyle w:val="Zkladntextodsazen21"/>
        <w:tabs>
          <w:tab w:val="left" w:pos="567"/>
        </w:tabs>
        <w:spacing w:after="240" w:line="276" w:lineRule="auto"/>
        <w:ind w:left="0" w:firstLine="0"/>
        <w:rPr>
          <w:rFonts w:ascii="Arial" w:hAnsi="Arial" w:cs="Arial"/>
          <w:iCs/>
          <w:sz w:val="20"/>
        </w:rPr>
      </w:pPr>
      <w:r w:rsidRPr="007E6FEB">
        <w:rPr>
          <w:rFonts w:ascii="Arial" w:hAnsi="Arial" w:cs="Arial"/>
          <w:iCs/>
          <w:sz w:val="20"/>
        </w:rPr>
        <w:t>Zjistí-li autor při výkonu autorského dozoru nedodržení projektové dokumentace stavby, uvědomí bez zbytečného odkladu o této skutečnosti zadavatele a zhotovitele stavby. V odůvodněných případech uvede stručnou charakteristiku porušení dokumentace a tomu odpovídající důsledky.</w:t>
      </w:r>
    </w:p>
    <w:p w:rsidR="007E6FEB" w:rsidRPr="007E6FEB" w:rsidRDefault="007E6FEB" w:rsidP="007E6FEB">
      <w:pPr>
        <w:pStyle w:val="Zkladntextodsazen21"/>
        <w:tabs>
          <w:tab w:val="left" w:pos="567"/>
        </w:tabs>
        <w:spacing w:after="240" w:line="276" w:lineRule="auto"/>
        <w:ind w:left="0" w:firstLine="0"/>
        <w:rPr>
          <w:rFonts w:ascii="Arial" w:hAnsi="Arial" w:cs="Arial"/>
          <w:sz w:val="20"/>
        </w:rPr>
      </w:pPr>
      <w:r w:rsidRPr="007E6FEB">
        <w:rPr>
          <w:rFonts w:ascii="Arial" w:hAnsi="Arial" w:cs="Arial"/>
          <w:sz w:val="20"/>
        </w:rPr>
        <w:t xml:space="preserve">AD bude vykonáván na vyžádání ze strany zadavatelů. Předmět, termín a místo výkonu AD budou dohodnuty vždy individuálně při každé výzvě zadavatelů. </w:t>
      </w:r>
    </w:p>
    <w:p w:rsidR="007E6FEB" w:rsidRPr="007E6FEB" w:rsidRDefault="007E6FEB" w:rsidP="007E6FEB">
      <w:pPr>
        <w:spacing w:before="240"/>
        <w:rPr>
          <w:rFonts w:ascii="Arial" w:hAnsi="Arial" w:cs="Arial"/>
          <w:b/>
          <w:sz w:val="20"/>
          <w:szCs w:val="20"/>
          <w:u w:val="single"/>
        </w:rPr>
      </w:pPr>
      <w:r w:rsidRPr="007E6FEB">
        <w:rPr>
          <w:rFonts w:ascii="Arial" w:hAnsi="Arial" w:cs="Arial"/>
          <w:b/>
          <w:sz w:val="20"/>
          <w:szCs w:val="20"/>
          <w:u w:val="single"/>
        </w:rPr>
        <w:t>Místo plnění/realizace</w:t>
      </w:r>
    </w:p>
    <w:p w:rsidR="007E6FEB" w:rsidRPr="007E6FEB" w:rsidRDefault="007E6FEB" w:rsidP="007E6FEB">
      <w:pPr>
        <w:rPr>
          <w:rFonts w:ascii="Arial" w:hAnsi="Arial" w:cs="Arial"/>
          <w:sz w:val="20"/>
          <w:szCs w:val="20"/>
        </w:rPr>
      </w:pPr>
      <w:r w:rsidRPr="007E6FEB">
        <w:rPr>
          <w:rFonts w:ascii="Arial" w:hAnsi="Arial" w:cs="Arial"/>
          <w:sz w:val="20"/>
          <w:szCs w:val="20"/>
        </w:rPr>
        <w:t>Místo stavby – Kraj Vysočina, okres Třebíč, obec Třebelovice</w:t>
      </w:r>
    </w:p>
    <w:p w:rsidR="007E6FEB" w:rsidRPr="007E6FEB" w:rsidRDefault="007E6FEB" w:rsidP="007E6FEB">
      <w:pPr>
        <w:rPr>
          <w:rFonts w:ascii="Arial" w:hAnsi="Arial" w:cs="Arial"/>
          <w:b/>
          <w:sz w:val="20"/>
          <w:szCs w:val="20"/>
          <w:u w:val="single"/>
        </w:rPr>
      </w:pPr>
      <w:r w:rsidRPr="007E6FEB">
        <w:rPr>
          <w:rFonts w:ascii="Arial" w:hAnsi="Arial" w:cs="Arial"/>
          <w:b/>
          <w:sz w:val="20"/>
          <w:szCs w:val="20"/>
          <w:u w:val="single"/>
        </w:rPr>
        <w:t>Seznam poskytnutých podkladů</w:t>
      </w:r>
    </w:p>
    <w:p w:rsidR="007E6FEB" w:rsidRPr="007E6FEB" w:rsidRDefault="007E6FEB" w:rsidP="007E6FEB">
      <w:pPr>
        <w:pStyle w:val="3"/>
        <w:spacing w:line="276" w:lineRule="auto"/>
        <w:rPr>
          <w:rFonts w:ascii="Arial" w:hAnsi="Arial" w:cs="Arial"/>
          <w:sz w:val="20"/>
          <w:szCs w:val="20"/>
        </w:rPr>
      </w:pPr>
      <w:r w:rsidRPr="007E6FEB">
        <w:rPr>
          <w:rFonts w:ascii="Arial" w:hAnsi="Arial" w:cs="Arial"/>
          <w:sz w:val="20"/>
          <w:szCs w:val="20"/>
        </w:rPr>
        <w:t>Přehledná situace</w:t>
      </w:r>
    </w:p>
    <w:p w:rsidR="007E6FEB" w:rsidRPr="007E6FEB" w:rsidRDefault="007E6FEB" w:rsidP="007E6FEB">
      <w:pPr>
        <w:rPr>
          <w:rFonts w:ascii="Arial" w:hAnsi="Arial" w:cs="Arial"/>
          <w:sz w:val="20"/>
          <w:szCs w:val="20"/>
        </w:rPr>
      </w:pPr>
      <w:r w:rsidRPr="007E6FEB">
        <w:rPr>
          <w:rFonts w:ascii="Arial" w:hAnsi="Arial" w:cs="Arial"/>
          <w:sz w:val="20"/>
          <w:szCs w:val="20"/>
        </w:rPr>
        <w:t>Mostní list mostu ev. č. 152-013</w:t>
      </w:r>
    </w:p>
    <w:p w:rsidR="007E6FEB" w:rsidRDefault="007E6FEB" w:rsidP="007E6FEB">
      <w:pPr>
        <w:pStyle w:val="3"/>
        <w:spacing w:line="276" w:lineRule="auto"/>
        <w:rPr>
          <w:rFonts w:ascii="Arial" w:hAnsi="Arial" w:cs="Arial"/>
          <w:sz w:val="20"/>
          <w:szCs w:val="20"/>
        </w:rPr>
      </w:pPr>
      <w:r w:rsidRPr="007E6FEB">
        <w:rPr>
          <w:rFonts w:ascii="Arial" w:hAnsi="Arial" w:cs="Arial"/>
          <w:sz w:val="20"/>
          <w:szCs w:val="20"/>
        </w:rPr>
        <w:lastRenderedPageBreak/>
        <w:t>Poslední provedená hlavní mostní prohlídka mostu ev. č. 152-013, 08/2023</w:t>
      </w:r>
    </w:p>
    <w:p w:rsidR="007E6FEB" w:rsidRDefault="007E6FEB" w:rsidP="007E6FEB">
      <w:pPr>
        <w:pStyle w:val="3"/>
        <w:spacing w:line="276" w:lineRule="auto"/>
        <w:rPr>
          <w:rFonts w:ascii="Arial" w:hAnsi="Arial" w:cs="Arial"/>
          <w:sz w:val="20"/>
          <w:szCs w:val="20"/>
        </w:rPr>
      </w:pPr>
    </w:p>
    <w:p w:rsidR="007E6FEB" w:rsidRPr="007E6FEB" w:rsidRDefault="007E6FEB" w:rsidP="007E6FEB">
      <w:pPr>
        <w:spacing w:after="0" w:line="240" w:lineRule="auto"/>
        <w:rPr>
          <w:rFonts w:ascii="Arial" w:hAnsi="Arial" w:cs="Arial"/>
          <w:b/>
          <w:sz w:val="20"/>
          <w:szCs w:val="20"/>
          <w:u w:val="single"/>
        </w:rPr>
      </w:pPr>
      <w:bookmarkStart w:id="0" w:name="_GoBack"/>
      <w:bookmarkEnd w:id="0"/>
    </w:p>
    <w:p w:rsidR="007E6FEB" w:rsidRPr="007E6FEB" w:rsidRDefault="007E6FEB" w:rsidP="007E6FEB">
      <w:pPr>
        <w:spacing w:before="240"/>
        <w:rPr>
          <w:rFonts w:ascii="Arial" w:hAnsi="Arial" w:cs="Arial"/>
          <w:b/>
          <w:sz w:val="20"/>
          <w:szCs w:val="20"/>
          <w:u w:val="single"/>
        </w:rPr>
      </w:pPr>
      <w:r w:rsidRPr="007E6FEB">
        <w:rPr>
          <w:rFonts w:ascii="Arial" w:hAnsi="Arial" w:cs="Arial"/>
          <w:b/>
          <w:sz w:val="20"/>
          <w:szCs w:val="20"/>
          <w:u w:val="single"/>
        </w:rPr>
        <w:t>Lhůty plnění</w:t>
      </w:r>
    </w:p>
    <w:p w:rsidR="007E6FEB" w:rsidRPr="007E6FEB" w:rsidRDefault="007E6FEB" w:rsidP="007E6FEB">
      <w:pPr>
        <w:overflowPunct w:val="0"/>
        <w:autoSpaceDE w:val="0"/>
        <w:autoSpaceDN w:val="0"/>
        <w:adjustRightInd w:val="0"/>
        <w:spacing w:after="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Zahájení realizace:</w:t>
      </w:r>
      <w:r w:rsidRPr="007E6FEB">
        <w:rPr>
          <w:rFonts w:ascii="Arial" w:eastAsia="Times New Roman" w:hAnsi="Arial" w:cs="Arial"/>
          <w:sz w:val="20"/>
          <w:szCs w:val="20"/>
          <w:lang w:eastAsia="cs-CZ"/>
        </w:rPr>
        <w:tab/>
      </w:r>
      <w:r w:rsidRPr="007E6FEB">
        <w:rPr>
          <w:rFonts w:ascii="Arial" w:eastAsia="Times New Roman" w:hAnsi="Arial" w:cs="Arial"/>
          <w:sz w:val="20"/>
          <w:szCs w:val="20"/>
          <w:lang w:eastAsia="cs-CZ"/>
        </w:rPr>
        <w:tab/>
      </w:r>
      <w:r w:rsidRPr="007E6FEB">
        <w:rPr>
          <w:rFonts w:ascii="Arial" w:eastAsia="Times New Roman" w:hAnsi="Arial" w:cs="Arial"/>
          <w:sz w:val="20"/>
          <w:szCs w:val="20"/>
          <w:lang w:eastAsia="cs-CZ"/>
        </w:rPr>
        <w:tab/>
      </w:r>
      <w:r w:rsidRPr="007E6FEB">
        <w:rPr>
          <w:rFonts w:ascii="Arial" w:eastAsia="Times New Roman" w:hAnsi="Arial" w:cs="Arial"/>
          <w:sz w:val="20"/>
          <w:szCs w:val="20"/>
          <w:lang w:eastAsia="cs-CZ"/>
        </w:rPr>
        <w:tab/>
      </w:r>
      <w:r w:rsidRPr="007E6FEB">
        <w:rPr>
          <w:rFonts w:ascii="Arial" w:eastAsia="Times New Roman" w:hAnsi="Arial" w:cs="Arial"/>
          <w:sz w:val="20"/>
          <w:szCs w:val="20"/>
          <w:lang w:eastAsia="cs-CZ"/>
        </w:rPr>
        <w:tab/>
        <w:t>ihned po nabytí účinnosti smlouvy</w:t>
      </w:r>
    </w:p>
    <w:p w:rsidR="007E6FEB" w:rsidRPr="007E6FEB" w:rsidRDefault="007E6FEB" w:rsidP="007E6FEB">
      <w:pPr>
        <w:overflowPunct w:val="0"/>
        <w:autoSpaceDE w:val="0"/>
        <w:autoSpaceDN w:val="0"/>
        <w:adjustRightInd w:val="0"/>
        <w:spacing w:after="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 xml:space="preserve">Diagnostika, IG průzkum a návrh technického </w:t>
      </w:r>
    </w:p>
    <w:p w:rsidR="007E6FEB" w:rsidRPr="007E6FEB" w:rsidRDefault="007E6FEB" w:rsidP="007E6FEB">
      <w:pPr>
        <w:overflowPunct w:val="0"/>
        <w:autoSpaceDE w:val="0"/>
        <w:autoSpaceDN w:val="0"/>
        <w:adjustRightInd w:val="0"/>
        <w:spacing w:after="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řešení</w:t>
      </w:r>
      <w:r w:rsidRPr="007E6FEB">
        <w:rPr>
          <w:rFonts w:ascii="Arial" w:eastAsia="Times New Roman" w:hAnsi="Arial" w:cs="Arial"/>
          <w:sz w:val="20"/>
          <w:szCs w:val="20"/>
          <w:lang w:eastAsia="cs-CZ"/>
        </w:rPr>
        <w:tab/>
      </w:r>
      <w:r w:rsidRPr="007E6FEB">
        <w:rPr>
          <w:rFonts w:ascii="Arial" w:eastAsia="Times New Roman" w:hAnsi="Arial" w:cs="Arial"/>
          <w:sz w:val="20"/>
          <w:szCs w:val="20"/>
          <w:lang w:eastAsia="cs-CZ"/>
        </w:rPr>
        <w:tab/>
      </w:r>
      <w:r w:rsidRPr="007E6FEB">
        <w:rPr>
          <w:rFonts w:ascii="Arial" w:eastAsia="Times New Roman" w:hAnsi="Arial" w:cs="Arial"/>
          <w:sz w:val="20"/>
          <w:szCs w:val="20"/>
          <w:lang w:eastAsia="cs-CZ"/>
        </w:rPr>
        <w:tab/>
      </w:r>
      <w:r w:rsidRPr="007E6FEB">
        <w:rPr>
          <w:rFonts w:ascii="Arial" w:eastAsia="Times New Roman" w:hAnsi="Arial" w:cs="Arial"/>
          <w:sz w:val="20"/>
          <w:szCs w:val="20"/>
          <w:lang w:eastAsia="cs-CZ"/>
        </w:rPr>
        <w:tab/>
      </w:r>
      <w:r w:rsidRPr="007E6FEB">
        <w:rPr>
          <w:rFonts w:ascii="Arial" w:eastAsia="Times New Roman" w:hAnsi="Arial" w:cs="Arial"/>
          <w:sz w:val="20"/>
          <w:szCs w:val="20"/>
          <w:lang w:eastAsia="cs-CZ"/>
        </w:rPr>
        <w:tab/>
      </w:r>
      <w:r w:rsidRPr="007E6FEB">
        <w:rPr>
          <w:rFonts w:ascii="Arial" w:eastAsia="Times New Roman" w:hAnsi="Arial" w:cs="Arial"/>
          <w:sz w:val="20"/>
          <w:szCs w:val="20"/>
          <w:lang w:eastAsia="cs-CZ"/>
        </w:rPr>
        <w:tab/>
      </w:r>
      <w:r w:rsidRPr="007E6FEB">
        <w:rPr>
          <w:rFonts w:ascii="Arial" w:eastAsia="Times New Roman" w:hAnsi="Arial" w:cs="Arial"/>
          <w:sz w:val="20"/>
          <w:szCs w:val="20"/>
          <w:lang w:eastAsia="cs-CZ"/>
        </w:rPr>
        <w:tab/>
        <w:t>do 90 dnů od nabytí účinnosti smlouvy</w:t>
      </w:r>
    </w:p>
    <w:p w:rsidR="007E6FEB" w:rsidRPr="007E6FEB" w:rsidRDefault="007E6FEB" w:rsidP="007E6FEB">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Dokumentace DUSP (koncept)</w:t>
      </w:r>
      <w:r w:rsidRPr="007E6FEB">
        <w:rPr>
          <w:rFonts w:ascii="Arial" w:eastAsia="Times New Roman" w:hAnsi="Arial" w:cs="Arial"/>
          <w:sz w:val="20"/>
          <w:szCs w:val="20"/>
          <w:lang w:eastAsia="cs-CZ"/>
        </w:rPr>
        <w:tab/>
        <w:t>do 150 dnů od nabytí účinnosti smlouvy</w:t>
      </w:r>
    </w:p>
    <w:p w:rsidR="007E6FEB" w:rsidRPr="007E6FEB" w:rsidRDefault="007E6FEB" w:rsidP="007E6FEB">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 xml:space="preserve">Dokumentace DUSP (čistopis, včetně IČ a </w:t>
      </w:r>
    </w:p>
    <w:p w:rsidR="007E6FEB" w:rsidRPr="007E6FEB" w:rsidRDefault="007E6FEB" w:rsidP="007E6FEB">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projednání s DOSS, odsouhlasený objednatelem)</w:t>
      </w:r>
      <w:r w:rsidRPr="007E6FEB">
        <w:rPr>
          <w:rFonts w:ascii="Arial" w:eastAsia="Times New Roman" w:hAnsi="Arial" w:cs="Arial"/>
          <w:sz w:val="20"/>
          <w:szCs w:val="20"/>
          <w:lang w:eastAsia="cs-CZ"/>
        </w:rPr>
        <w:tab/>
        <w:t>do 60 dnů od předání konceptu DUSP</w:t>
      </w:r>
    </w:p>
    <w:p w:rsidR="007E6FEB" w:rsidRPr="007E6FEB" w:rsidRDefault="007E6FEB" w:rsidP="007E6FEB">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Podání žádosti o společné územní a stavební povolení</w:t>
      </w:r>
    </w:p>
    <w:p w:rsidR="007E6FEB" w:rsidRPr="007E6FEB" w:rsidRDefault="007E6FEB" w:rsidP="007E6FEB">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ab/>
      </w:r>
      <w:r w:rsidRPr="007E6FEB">
        <w:rPr>
          <w:rFonts w:ascii="Arial" w:eastAsia="Times New Roman" w:hAnsi="Arial" w:cs="Arial"/>
          <w:sz w:val="20"/>
          <w:szCs w:val="20"/>
          <w:lang w:eastAsia="cs-CZ"/>
        </w:rPr>
        <w:tab/>
        <w:t xml:space="preserve">do 15 dnů od dokončení inženýrské činnosti </w:t>
      </w:r>
    </w:p>
    <w:p w:rsidR="007E6FEB" w:rsidRPr="007E6FEB" w:rsidRDefault="007E6FEB" w:rsidP="007E6FEB">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 xml:space="preserve">Dokumentace PDPS (čistopis, včetně </w:t>
      </w:r>
    </w:p>
    <w:p w:rsidR="007E6FEB" w:rsidRPr="007E6FEB" w:rsidRDefault="007E6FEB" w:rsidP="007E6FEB">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 xml:space="preserve">zapracování případných připomínek </w:t>
      </w:r>
    </w:p>
    <w:p w:rsidR="007E6FEB" w:rsidRPr="007E6FEB" w:rsidRDefault="007E6FEB" w:rsidP="007E6FEB">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ze stavebního řízení a včetně soupisů prací,</w:t>
      </w:r>
    </w:p>
    <w:p w:rsidR="007E6FEB" w:rsidRPr="007E6FEB" w:rsidRDefault="007E6FEB" w:rsidP="007E6FEB">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E6FEB">
        <w:rPr>
          <w:rFonts w:ascii="Arial" w:eastAsia="Times New Roman" w:hAnsi="Arial" w:cs="Arial"/>
          <w:sz w:val="20"/>
          <w:szCs w:val="20"/>
          <w:lang w:eastAsia="cs-CZ"/>
        </w:rPr>
        <w:t>odsouhlasený objednatelem)</w:t>
      </w:r>
      <w:r w:rsidRPr="007E6FEB">
        <w:rPr>
          <w:rFonts w:ascii="Arial" w:eastAsia="Times New Roman" w:hAnsi="Arial" w:cs="Arial"/>
          <w:sz w:val="20"/>
          <w:szCs w:val="20"/>
          <w:lang w:eastAsia="cs-CZ"/>
        </w:rPr>
        <w:tab/>
        <w:t>do 30 dnů od vydání ÚSP</w:t>
      </w:r>
    </w:p>
    <w:p w:rsidR="007E6FEB" w:rsidRPr="007E6FEB" w:rsidRDefault="007E6FEB" w:rsidP="007E6FEB">
      <w:pPr>
        <w:spacing w:before="240"/>
        <w:rPr>
          <w:rFonts w:ascii="Arial" w:eastAsia="Times New Roman" w:hAnsi="Arial" w:cs="Arial"/>
          <w:sz w:val="20"/>
          <w:szCs w:val="20"/>
          <w:lang w:eastAsia="cs-CZ"/>
        </w:rPr>
      </w:pPr>
    </w:p>
    <w:p w:rsidR="00B545BC" w:rsidRPr="007E6FEB" w:rsidRDefault="00B545BC" w:rsidP="007E6FEB">
      <w:pPr>
        <w:tabs>
          <w:tab w:val="left" w:pos="993"/>
        </w:tabs>
        <w:spacing w:before="240" w:after="120"/>
        <w:jc w:val="both"/>
        <w:rPr>
          <w:rFonts w:ascii="Arial" w:hAnsi="Arial" w:cs="Arial"/>
          <w:b/>
          <w:sz w:val="20"/>
          <w:szCs w:val="20"/>
        </w:rPr>
      </w:pPr>
    </w:p>
    <w:sectPr w:rsidR="00B545BC" w:rsidRPr="007E6FEB" w:rsidSect="004F4618">
      <w:headerReference w:type="default" r:id="rId7"/>
      <w:footerReference w:type="default" r:id="rId8"/>
      <w:pgSz w:w="11906" w:h="16838"/>
      <w:pgMar w:top="1135" w:right="1133" w:bottom="1135" w:left="1417" w:header="851" w:footer="7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50B" w:rsidRDefault="0088350B" w:rsidP="00033EC2">
      <w:pPr>
        <w:spacing w:after="0" w:line="240" w:lineRule="auto"/>
      </w:pPr>
      <w:r>
        <w:separator/>
      </w:r>
    </w:p>
  </w:endnote>
  <w:endnote w:type="continuationSeparator" w:id="0">
    <w:p w:rsidR="0088350B" w:rsidRDefault="0088350B"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7E6FEB">
      <w:rPr>
        <w:rFonts w:ascii="Arial" w:hAnsi="Arial" w:cs="Arial"/>
        <w:b/>
        <w:noProof/>
        <w:sz w:val="16"/>
        <w:szCs w:val="16"/>
      </w:rPr>
      <w:t>3</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7E6FEB">
      <w:rPr>
        <w:rFonts w:ascii="Arial" w:hAnsi="Arial" w:cs="Arial"/>
        <w:b/>
        <w:noProof/>
        <w:sz w:val="16"/>
        <w:szCs w:val="16"/>
      </w:rPr>
      <w:t>5</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50B" w:rsidRDefault="0088350B" w:rsidP="00033EC2">
      <w:pPr>
        <w:spacing w:after="0" w:line="240" w:lineRule="auto"/>
      </w:pPr>
      <w:r>
        <w:separator/>
      </w:r>
    </w:p>
  </w:footnote>
  <w:footnote w:type="continuationSeparator" w:id="0">
    <w:p w:rsidR="0088350B" w:rsidRDefault="0088350B" w:rsidP="00033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68584F08" wp14:editId="1EDCCB10">
          <wp:simplePos x="0" y="0"/>
          <wp:positionH relativeFrom="margin">
            <wp:posOffset>0</wp:posOffset>
          </wp:positionH>
          <wp:positionV relativeFrom="margin">
            <wp:posOffset>-866775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C5DCC" w:rsidRDefault="00EC5DCC" w:rsidP="00E02F34">
    <w:pPr>
      <w:pStyle w:val="Zhlav"/>
      <w:pBdr>
        <w:bottom w:val="single" w:sz="4" w:space="1" w:color="auto"/>
      </w:pBdr>
      <w:jc w:val="right"/>
      <w:rPr>
        <w:rFonts w:ascii="Arial" w:hAnsi="Arial" w:cs="Arial"/>
        <w:sz w:val="16"/>
        <w:szCs w:val="16"/>
      </w:rPr>
    </w:pP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18"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0"/>
  </w:num>
  <w:num w:numId="4">
    <w:abstractNumId w:val="14"/>
  </w:num>
  <w:num w:numId="5">
    <w:abstractNumId w:val="10"/>
  </w:num>
  <w:num w:numId="6">
    <w:abstractNumId w:val="13"/>
  </w:num>
  <w:num w:numId="7">
    <w:abstractNumId w:val="12"/>
  </w:num>
  <w:num w:numId="8">
    <w:abstractNumId w:val="5"/>
  </w:num>
  <w:num w:numId="9">
    <w:abstractNumId w:val="11"/>
  </w:num>
  <w:num w:numId="10">
    <w:abstractNumId w:val="4"/>
  </w:num>
  <w:num w:numId="11">
    <w:abstractNumId w:val="6"/>
  </w:num>
  <w:num w:numId="12">
    <w:abstractNumId w:val="1"/>
  </w:num>
  <w:num w:numId="13">
    <w:abstractNumId w:val="7"/>
  </w:num>
  <w:num w:numId="14">
    <w:abstractNumId w:val="23"/>
  </w:num>
  <w:num w:numId="15">
    <w:abstractNumId w:val="19"/>
  </w:num>
  <w:num w:numId="16">
    <w:abstractNumId w:val="2"/>
  </w:num>
  <w:num w:numId="17">
    <w:abstractNumId w:val="8"/>
  </w:num>
  <w:num w:numId="18">
    <w:abstractNumId w:val="24"/>
  </w:num>
  <w:num w:numId="19">
    <w:abstractNumId w:val="18"/>
  </w:num>
  <w:num w:numId="20">
    <w:abstractNumId w:val="16"/>
  </w:num>
  <w:num w:numId="21">
    <w:abstractNumId w:val="3"/>
  </w:num>
  <w:num w:numId="22">
    <w:abstractNumId w:val="20"/>
  </w:num>
  <w:num w:numId="23">
    <w:abstractNumId w:val="17"/>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0"/>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31B59"/>
    <w:rsid w:val="00032DF2"/>
    <w:rsid w:val="00033EC2"/>
    <w:rsid w:val="00077603"/>
    <w:rsid w:val="00091A0B"/>
    <w:rsid w:val="00105330"/>
    <w:rsid w:val="001310C6"/>
    <w:rsid w:val="00143858"/>
    <w:rsid w:val="00150F88"/>
    <w:rsid w:val="0016103B"/>
    <w:rsid w:val="00172C17"/>
    <w:rsid w:val="00174D7F"/>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715B4"/>
    <w:rsid w:val="002819DD"/>
    <w:rsid w:val="00294439"/>
    <w:rsid w:val="002A2808"/>
    <w:rsid w:val="002A70F8"/>
    <w:rsid w:val="002D116F"/>
    <w:rsid w:val="002D2AC8"/>
    <w:rsid w:val="00322187"/>
    <w:rsid w:val="00335791"/>
    <w:rsid w:val="00355D64"/>
    <w:rsid w:val="003634A2"/>
    <w:rsid w:val="003A6635"/>
    <w:rsid w:val="003B523E"/>
    <w:rsid w:val="003C0016"/>
    <w:rsid w:val="003C5BC7"/>
    <w:rsid w:val="003D36F1"/>
    <w:rsid w:val="00405F21"/>
    <w:rsid w:val="00413BFA"/>
    <w:rsid w:val="0043662A"/>
    <w:rsid w:val="00437E4E"/>
    <w:rsid w:val="00487EB6"/>
    <w:rsid w:val="004B1D1B"/>
    <w:rsid w:val="004B2925"/>
    <w:rsid w:val="004B3A5B"/>
    <w:rsid w:val="004B4D66"/>
    <w:rsid w:val="004C2E7C"/>
    <w:rsid w:val="004C3D34"/>
    <w:rsid w:val="004E26C7"/>
    <w:rsid w:val="004F4618"/>
    <w:rsid w:val="005252AA"/>
    <w:rsid w:val="0052571B"/>
    <w:rsid w:val="005562DB"/>
    <w:rsid w:val="00575531"/>
    <w:rsid w:val="005875BA"/>
    <w:rsid w:val="005A2999"/>
    <w:rsid w:val="005E469A"/>
    <w:rsid w:val="005E59F4"/>
    <w:rsid w:val="00605337"/>
    <w:rsid w:val="0060692D"/>
    <w:rsid w:val="00627D75"/>
    <w:rsid w:val="00633927"/>
    <w:rsid w:val="00635E1D"/>
    <w:rsid w:val="00651DA9"/>
    <w:rsid w:val="00651F7A"/>
    <w:rsid w:val="00660B95"/>
    <w:rsid w:val="00683DAC"/>
    <w:rsid w:val="006916B1"/>
    <w:rsid w:val="006A0285"/>
    <w:rsid w:val="006A3AD9"/>
    <w:rsid w:val="00723546"/>
    <w:rsid w:val="007349F9"/>
    <w:rsid w:val="007524A0"/>
    <w:rsid w:val="00756EC0"/>
    <w:rsid w:val="0076591D"/>
    <w:rsid w:val="00771D72"/>
    <w:rsid w:val="00781C90"/>
    <w:rsid w:val="00794F75"/>
    <w:rsid w:val="007D1374"/>
    <w:rsid w:val="007E6FEB"/>
    <w:rsid w:val="007F411D"/>
    <w:rsid w:val="007F463F"/>
    <w:rsid w:val="008023D2"/>
    <w:rsid w:val="00817C5F"/>
    <w:rsid w:val="008209FA"/>
    <w:rsid w:val="00844B90"/>
    <w:rsid w:val="0085017D"/>
    <w:rsid w:val="008742AE"/>
    <w:rsid w:val="0088350B"/>
    <w:rsid w:val="00884EBA"/>
    <w:rsid w:val="008B37FB"/>
    <w:rsid w:val="008B5E8C"/>
    <w:rsid w:val="008D4372"/>
    <w:rsid w:val="008E5B75"/>
    <w:rsid w:val="008F1380"/>
    <w:rsid w:val="008F2428"/>
    <w:rsid w:val="00903D67"/>
    <w:rsid w:val="009153D3"/>
    <w:rsid w:val="009333EF"/>
    <w:rsid w:val="00946275"/>
    <w:rsid w:val="009470C5"/>
    <w:rsid w:val="00955CD4"/>
    <w:rsid w:val="0095682B"/>
    <w:rsid w:val="00966055"/>
    <w:rsid w:val="00972FC3"/>
    <w:rsid w:val="00981014"/>
    <w:rsid w:val="009B0C47"/>
    <w:rsid w:val="009B37C8"/>
    <w:rsid w:val="009E5449"/>
    <w:rsid w:val="00A02A92"/>
    <w:rsid w:val="00A02C1A"/>
    <w:rsid w:val="00A111D2"/>
    <w:rsid w:val="00A258B6"/>
    <w:rsid w:val="00A44DF5"/>
    <w:rsid w:val="00A93CA0"/>
    <w:rsid w:val="00AA21EC"/>
    <w:rsid w:val="00AA42F6"/>
    <w:rsid w:val="00AA76D7"/>
    <w:rsid w:val="00AB286A"/>
    <w:rsid w:val="00AC4AB1"/>
    <w:rsid w:val="00AF5D3F"/>
    <w:rsid w:val="00B0273E"/>
    <w:rsid w:val="00B31119"/>
    <w:rsid w:val="00B3596C"/>
    <w:rsid w:val="00B41130"/>
    <w:rsid w:val="00B4147B"/>
    <w:rsid w:val="00B4322A"/>
    <w:rsid w:val="00B44286"/>
    <w:rsid w:val="00B545BC"/>
    <w:rsid w:val="00B64492"/>
    <w:rsid w:val="00B72CB0"/>
    <w:rsid w:val="00BD08E8"/>
    <w:rsid w:val="00BE3B79"/>
    <w:rsid w:val="00C040A0"/>
    <w:rsid w:val="00C0508D"/>
    <w:rsid w:val="00C34F5B"/>
    <w:rsid w:val="00C52667"/>
    <w:rsid w:val="00C65520"/>
    <w:rsid w:val="00CB1CE3"/>
    <w:rsid w:val="00CF3EA0"/>
    <w:rsid w:val="00D1051F"/>
    <w:rsid w:val="00D21DBE"/>
    <w:rsid w:val="00D24A4F"/>
    <w:rsid w:val="00D674D6"/>
    <w:rsid w:val="00D83014"/>
    <w:rsid w:val="00DA5742"/>
    <w:rsid w:val="00DE107F"/>
    <w:rsid w:val="00E02F34"/>
    <w:rsid w:val="00E07484"/>
    <w:rsid w:val="00E12753"/>
    <w:rsid w:val="00E26473"/>
    <w:rsid w:val="00E336FE"/>
    <w:rsid w:val="00E36ADA"/>
    <w:rsid w:val="00EA03AD"/>
    <w:rsid w:val="00EC5DCC"/>
    <w:rsid w:val="00ED28F8"/>
    <w:rsid w:val="00ED43D1"/>
    <w:rsid w:val="00EE2E2A"/>
    <w:rsid w:val="00F11900"/>
    <w:rsid w:val="00F15CA5"/>
    <w:rsid w:val="00F230F4"/>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5</Pages>
  <Words>2066</Words>
  <Characters>12195</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Janoušková Alena</cp:lastModifiedBy>
  <cp:revision>38</cp:revision>
  <cp:lastPrinted>2024-04-18T12:32:00Z</cp:lastPrinted>
  <dcterms:created xsi:type="dcterms:W3CDTF">2020-01-14T13:40:00Z</dcterms:created>
  <dcterms:modified xsi:type="dcterms:W3CDTF">2024-06-06T08:35:00Z</dcterms:modified>
</cp:coreProperties>
</file>